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65882D0" w14:textId="02B66DD9" w:rsidR="00DB7BC5" w:rsidRPr="00871515" w:rsidRDefault="00871515" w:rsidP="00871515">
      <w:pPr>
        <w:spacing w:after="0" w:line="240" w:lineRule="auto"/>
        <w:jc w:val="both"/>
        <w:rPr>
          <w:rFonts w:ascii="Times New Roman" w:hAnsi="Times New Roman" w:cs="Times New Roman"/>
          <w:b/>
          <w:bCs/>
          <w:sz w:val="28"/>
          <w:szCs w:val="28"/>
          <w:u w:val="single"/>
          <w:lang w:val="en-US"/>
        </w:rPr>
      </w:pPr>
      <w:r w:rsidRPr="00871515">
        <w:rPr>
          <w:rFonts w:ascii="Times New Roman" w:hAnsi="Times New Roman" w:cs="Times New Roman"/>
          <w:b/>
          <w:bCs/>
          <w:noProof/>
          <w:sz w:val="28"/>
          <w:szCs w:val="28"/>
        </w:rPr>
        <w:drawing>
          <wp:anchor distT="0" distB="0" distL="114300" distR="114300" simplePos="0" relativeHeight="251659264" behindDoc="0" locked="0" layoutInCell="1" allowOverlap="1" wp14:anchorId="2BA0D0B6" wp14:editId="1392322A">
            <wp:simplePos x="0" y="0"/>
            <wp:positionH relativeFrom="margin">
              <wp:align>center</wp:align>
            </wp:positionH>
            <wp:positionV relativeFrom="paragraph">
              <wp:posOffset>-629285</wp:posOffset>
            </wp:positionV>
            <wp:extent cx="1440611" cy="1440611"/>
            <wp:effectExtent l="0" t="0" r="7620" b="7620"/>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440611" cy="1440611"/>
                    </a:xfrm>
                    <a:prstGeom prst="rect">
                      <a:avLst/>
                    </a:prstGeom>
                    <a:noFill/>
                    <a:ln>
                      <a:noFill/>
                    </a:ln>
                    <a:effectLst/>
                  </pic:spPr>
                </pic:pic>
              </a:graphicData>
            </a:graphic>
            <wp14:sizeRelH relativeFrom="margin">
              <wp14:pctWidth>0</wp14:pctWidth>
            </wp14:sizeRelH>
            <wp14:sizeRelV relativeFrom="margin">
              <wp14:pctHeight>0</wp14:pctHeight>
            </wp14:sizeRelV>
          </wp:anchor>
        </w:drawing>
      </w:r>
    </w:p>
    <w:p w14:paraId="7DDBEE5E" w14:textId="77777777" w:rsidR="0042696D" w:rsidRPr="00871515" w:rsidRDefault="0042696D" w:rsidP="00871515">
      <w:pPr>
        <w:spacing w:before="120" w:after="0" w:line="240" w:lineRule="auto"/>
        <w:jc w:val="both"/>
        <w:rPr>
          <w:rFonts w:ascii="Times New Roman" w:hAnsi="Times New Roman" w:cs="Times New Roman"/>
          <w:b/>
          <w:bCs/>
          <w:sz w:val="28"/>
          <w:szCs w:val="28"/>
          <w:u w:val="single"/>
          <w:lang w:val="fr-FR"/>
        </w:rPr>
      </w:pPr>
    </w:p>
    <w:p w14:paraId="67B320BF" w14:textId="77777777" w:rsidR="00871515" w:rsidRDefault="00871515" w:rsidP="00871515">
      <w:pPr>
        <w:spacing w:before="120" w:after="0" w:line="240" w:lineRule="auto"/>
        <w:jc w:val="both"/>
        <w:rPr>
          <w:rFonts w:ascii="Times New Roman" w:hAnsi="Times New Roman" w:cs="Times New Roman"/>
          <w:b/>
          <w:bCs/>
          <w:sz w:val="28"/>
          <w:szCs w:val="28"/>
          <w:u w:val="single"/>
          <w:lang w:val="fr-FR"/>
        </w:rPr>
      </w:pPr>
    </w:p>
    <w:p w14:paraId="02B011AE" w14:textId="0BE83E85" w:rsidR="00A94182" w:rsidRPr="00871515" w:rsidRDefault="00A94182" w:rsidP="00871515">
      <w:pPr>
        <w:spacing w:before="120" w:after="0" w:line="240" w:lineRule="auto"/>
        <w:jc w:val="center"/>
        <w:rPr>
          <w:rFonts w:ascii="Times New Roman" w:hAnsi="Times New Roman" w:cs="Times New Roman"/>
          <w:b/>
          <w:bCs/>
          <w:sz w:val="28"/>
          <w:szCs w:val="28"/>
          <w:u w:val="single"/>
          <w:lang w:val="fr-FR"/>
        </w:rPr>
      </w:pPr>
      <w:r w:rsidRPr="00871515">
        <w:rPr>
          <w:rFonts w:ascii="Times New Roman" w:hAnsi="Times New Roman" w:cs="Times New Roman"/>
          <w:b/>
          <w:bCs/>
          <w:sz w:val="28"/>
          <w:szCs w:val="28"/>
          <w:u w:val="single"/>
          <w:lang w:val="fr-FR"/>
        </w:rPr>
        <w:t>NOTE EXPLICATIVE: POINT 7 DE L'ORDRE DU JOUR</w:t>
      </w:r>
    </w:p>
    <w:p w14:paraId="2725394F" w14:textId="40E1626F" w:rsidR="004043E7" w:rsidRDefault="00A94182" w:rsidP="00871515">
      <w:pPr>
        <w:spacing w:before="120" w:after="0" w:line="240" w:lineRule="auto"/>
        <w:jc w:val="center"/>
        <w:rPr>
          <w:rFonts w:ascii="Times New Roman" w:hAnsi="Times New Roman" w:cs="Times New Roman"/>
          <w:b/>
          <w:bCs/>
          <w:sz w:val="28"/>
          <w:szCs w:val="28"/>
          <w:lang w:val="fr-FR"/>
        </w:rPr>
      </w:pPr>
      <w:r w:rsidRPr="00871515">
        <w:rPr>
          <w:rFonts w:ascii="Times New Roman" w:hAnsi="Times New Roman" w:cs="Times New Roman"/>
          <w:b/>
          <w:bCs/>
          <w:sz w:val="28"/>
          <w:szCs w:val="28"/>
          <w:lang w:val="fr-FR"/>
        </w:rPr>
        <w:t>PROMOTION DE LA COMMERCE AGROALIMENTAIRE ET DE L'INVESTISSEMENT</w:t>
      </w:r>
    </w:p>
    <w:p w14:paraId="218A1797" w14:textId="77777777" w:rsidR="00871515" w:rsidRPr="00871515" w:rsidRDefault="00871515" w:rsidP="00871515">
      <w:pPr>
        <w:spacing w:before="120" w:after="0" w:line="240" w:lineRule="auto"/>
        <w:jc w:val="center"/>
        <w:rPr>
          <w:rFonts w:ascii="Times New Roman" w:hAnsi="Times New Roman" w:cs="Times New Roman"/>
          <w:b/>
          <w:bCs/>
          <w:sz w:val="28"/>
          <w:szCs w:val="28"/>
          <w:u w:val="single"/>
          <w:lang w:val="fr-FR"/>
        </w:rPr>
      </w:pPr>
    </w:p>
    <w:p w14:paraId="1393C02E" w14:textId="42303E5F" w:rsidR="004F5828" w:rsidRDefault="00871515" w:rsidP="00871515">
      <w:pPr>
        <w:pStyle w:val="a3"/>
        <w:numPr>
          <w:ilvl w:val="0"/>
          <w:numId w:val="14"/>
        </w:numPr>
        <w:spacing w:before="120" w:after="0" w:line="240" w:lineRule="auto"/>
        <w:jc w:val="both"/>
        <w:rPr>
          <w:rFonts w:ascii="Times New Roman" w:hAnsi="Times New Roman" w:cs="Times New Roman"/>
          <w:sz w:val="28"/>
          <w:szCs w:val="28"/>
          <w:lang w:val="fr-FR"/>
        </w:rPr>
      </w:pPr>
      <w:r w:rsidRPr="00871515">
        <w:rPr>
          <w:rFonts w:ascii="Times New Roman" w:hAnsi="Times New Roman" w:cs="Times New Roman"/>
          <w:sz w:val="28"/>
          <w:szCs w:val="28"/>
          <w:lang w:val="fr-FR"/>
        </w:rPr>
        <w:t xml:space="preserve">Développement des Secteurs Alimentaires Nationaux </w:t>
      </w:r>
      <w:r w:rsidR="006874A9">
        <w:rPr>
          <w:rFonts w:ascii="Times New Roman" w:hAnsi="Times New Roman" w:cs="Times New Roman"/>
          <w:sz w:val="28"/>
          <w:szCs w:val="28"/>
          <w:lang w:val="fr-FR"/>
        </w:rPr>
        <w:t>e</w:t>
      </w:r>
      <w:r w:rsidRPr="00871515">
        <w:rPr>
          <w:rFonts w:ascii="Times New Roman" w:hAnsi="Times New Roman" w:cs="Times New Roman"/>
          <w:sz w:val="28"/>
          <w:szCs w:val="28"/>
          <w:lang w:val="fr-FR"/>
        </w:rPr>
        <w:t xml:space="preserve">n Coopération </w:t>
      </w:r>
      <w:r w:rsidR="006874A9">
        <w:rPr>
          <w:rFonts w:ascii="Times New Roman" w:hAnsi="Times New Roman" w:cs="Times New Roman"/>
          <w:sz w:val="28"/>
          <w:szCs w:val="28"/>
          <w:lang w:val="fr-FR"/>
        </w:rPr>
        <w:t>a</w:t>
      </w:r>
      <w:r w:rsidRPr="00871515">
        <w:rPr>
          <w:rFonts w:ascii="Times New Roman" w:hAnsi="Times New Roman" w:cs="Times New Roman"/>
          <w:sz w:val="28"/>
          <w:szCs w:val="28"/>
          <w:lang w:val="fr-FR"/>
        </w:rPr>
        <w:t xml:space="preserve">vec </w:t>
      </w:r>
      <w:r w:rsidR="006874A9">
        <w:rPr>
          <w:rFonts w:ascii="Times New Roman" w:hAnsi="Times New Roman" w:cs="Times New Roman"/>
          <w:sz w:val="28"/>
          <w:szCs w:val="28"/>
          <w:lang w:val="fr-FR"/>
        </w:rPr>
        <w:t>l</w:t>
      </w:r>
      <w:r w:rsidRPr="00871515">
        <w:rPr>
          <w:rFonts w:ascii="Times New Roman" w:hAnsi="Times New Roman" w:cs="Times New Roman"/>
          <w:sz w:val="28"/>
          <w:szCs w:val="28"/>
          <w:lang w:val="fr-FR"/>
        </w:rPr>
        <w:t xml:space="preserve">es Agences Publiques </w:t>
      </w:r>
      <w:r w:rsidR="006874A9">
        <w:rPr>
          <w:rFonts w:ascii="Times New Roman" w:hAnsi="Times New Roman" w:cs="Times New Roman"/>
          <w:sz w:val="28"/>
          <w:szCs w:val="28"/>
          <w:lang w:val="fr-FR"/>
        </w:rPr>
        <w:t>d</w:t>
      </w:r>
      <w:r w:rsidRPr="00871515">
        <w:rPr>
          <w:rFonts w:ascii="Times New Roman" w:hAnsi="Times New Roman" w:cs="Times New Roman"/>
          <w:sz w:val="28"/>
          <w:szCs w:val="28"/>
          <w:lang w:val="fr-FR"/>
        </w:rPr>
        <w:t>'</w:t>
      </w:r>
      <w:r w:rsidR="000256B4">
        <w:rPr>
          <w:rFonts w:ascii="Times New Roman" w:hAnsi="Times New Roman" w:cs="Times New Roman"/>
          <w:sz w:val="28"/>
          <w:szCs w:val="28"/>
          <w:lang w:val="fr-FR"/>
        </w:rPr>
        <w:t>I</w:t>
      </w:r>
      <w:r w:rsidRPr="00871515">
        <w:rPr>
          <w:rFonts w:ascii="Times New Roman" w:hAnsi="Times New Roman" w:cs="Times New Roman"/>
          <w:sz w:val="28"/>
          <w:szCs w:val="28"/>
          <w:lang w:val="fr-FR"/>
        </w:rPr>
        <w:t xml:space="preserve">nvestissement </w:t>
      </w:r>
    </w:p>
    <w:p w14:paraId="4FD5A771" w14:textId="4B352088" w:rsidR="007453FD" w:rsidRDefault="007453FD" w:rsidP="007453FD">
      <w:pPr>
        <w:pStyle w:val="a3"/>
        <w:numPr>
          <w:ilvl w:val="0"/>
          <w:numId w:val="14"/>
        </w:numPr>
        <w:spacing w:before="120" w:after="0" w:line="240" w:lineRule="auto"/>
        <w:jc w:val="both"/>
        <w:rPr>
          <w:rFonts w:ascii="Times New Roman" w:hAnsi="Times New Roman" w:cs="Times New Roman"/>
          <w:sz w:val="28"/>
          <w:szCs w:val="28"/>
          <w:lang w:val="fr-FR"/>
        </w:rPr>
      </w:pPr>
      <w:r w:rsidRPr="00871515">
        <w:rPr>
          <w:rFonts w:ascii="Times New Roman" w:hAnsi="Times New Roman" w:cs="Times New Roman"/>
          <w:sz w:val="28"/>
          <w:szCs w:val="28"/>
          <w:lang w:val="fr-FR"/>
        </w:rPr>
        <w:t>S</w:t>
      </w:r>
      <w:r w:rsidRPr="00871515">
        <w:rPr>
          <w:rFonts w:asciiTheme="majorBidi" w:hAnsiTheme="majorBidi" w:cstheme="majorBidi"/>
          <w:sz w:val="28"/>
          <w:szCs w:val="28"/>
          <w:lang w:val="fr-FR"/>
        </w:rPr>
        <w:t>û</w:t>
      </w:r>
      <w:r w:rsidRPr="00871515">
        <w:rPr>
          <w:rFonts w:ascii="Times New Roman" w:hAnsi="Times New Roman" w:cs="Times New Roman"/>
          <w:sz w:val="28"/>
          <w:szCs w:val="28"/>
          <w:lang w:val="fr-FR"/>
        </w:rPr>
        <w:t xml:space="preserve">reté Alimentaire </w:t>
      </w:r>
      <w:r>
        <w:rPr>
          <w:rFonts w:ascii="Times New Roman" w:hAnsi="Times New Roman" w:cs="Times New Roman"/>
          <w:sz w:val="28"/>
          <w:szCs w:val="28"/>
          <w:lang w:val="fr-FR"/>
        </w:rPr>
        <w:t>e</w:t>
      </w:r>
      <w:r w:rsidRPr="00871515">
        <w:rPr>
          <w:rFonts w:ascii="Times New Roman" w:hAnsi="Times New Roman" w:cs="Times New Roman"/>
          <w:sz w:val="28"/>
          <w:szCs w:val="28"/>
          <w:lang w:val="fr-FR"/>
        </w:rPr>
        <w:t>t Développement Alimentaire Halal</w:t>
      </w:r>
    </w:p>
    <w:p w14:paraId="590FEBE1" w14:textId="77777777" w:rsidR="007453FD" w:rsidRPr="007453FD" w:rsidRDefault="007453FD" w:rsidP="007453FD">
      <w:pPr>
        <w:spacing w:before="120" w:after="0" w:line="240" w:lineRule="auto"/>
        <w:jc w:val="both"/>
        <w:rPr>
          <w:rFonts w:ascii="Times New Roman" w:hAnsi="Times New Roman" w:cs="Times New Roman"/>
          <w:sz w:val="28"/>
          <w:szCs w:val="28"/>
          <w:lang w:val="fr-FR"/>
        </w:rPr>
      </w:pPr>
    </w:p>
    <w:p w14:paraId="247EBE56" w14:textId="7339D535" w:rsidR="004043E7" w:rsidRPr="007453FD" w:rsidRDefault="007453FD" w:rsidP="00871515">
      <w:pPr>
        <w:pStyle w:val="a3"/>
        <w:numPr>
          <w:ilvl w:val="0"/>
          <w:numId w:val="15"/>
        </w:numPr>
        <w:spacing w:before="120" w:after="0" w:line="240" w:lineRule="auto"/>
        <w:jc w:val="both"/>
        <w:rPr>
          <w:rFonts w:ascii="Times New Roman" w:hAnsi="Times New Roman" w:cs="Times New Roman"/>
          <w:sz w:val="28"/>
          <w:szCs w:val="28"/>
          <w:lang w:val="fr-FR"/>
        </w:rPr>
      </w:pPr>
      <w:r w:rsidRPr="007453FD">
        <w:rPr>
          <w:rFonts w:ascii="Times New Roman" w:hAnsi="Times New Roman" w:cs="Times New Roman"/>
          <w:sz w:val="28"/>
          <w:szCs w:val="28"/>
          <w:lang w:val="fr-FR"/>
        </w:rPr>
        <w:t xml:space="preserve">Développement des Secteurs Alimentaires Nationaux en Coopération avec les Agences Publiques d'Investissement </w:t>
      </w:r>
    </w:p>
    <w:p w14:paraId="2EA00120" w14:textId="593EF9CB" w:rsidR="00254061" w:rsidRPr="00871515" w:rsidRDefault="00254061" w:rsidP="00871515">
      <w:pPr>
        <w:spacing w:after="0" w:line="240" w:lineRule="auto"/>
        <w:jc w:val="both"/>
        <w:rPr>
          <w:rFonts w:ascii="Times New Roman" w:hAnsi="Times New Roman" w:cs="Times New Roman"/>
          <w:b/>
          <w:bCs/>
          <w:sz w:val="28"/>
          <w:szCs w:val="28"/>
          <w:lang w:val="fr-FR"/>
        </w:rPr>
      </w:pPr>
      <w:r w:rsidRPr="00871515">
        <w:rPr>
          <w:rFonts w:ascii="Times New Roman" w:hAnsi="Times New Roman" w:cs="Times New Roman"/>
          <w:b/>
          <w:bCs/>
          <w:sz w:val="28"/>
          <w:szCs w:val="28"/>
          <w:lang w:val="fr-FR"/>
        </w:rPr>
        <w:t>Pr</w:t>
      </w:r>
      <w:r w:rsidR="00A94182" w:rsidRPr="00871515">
        <w:rPr>
          <w:rFonts w:ascii="Times New Roman" w:hAnsi="Times New Roman" w:cs="Times New Roman"/>
          <w:b/>
          <w:bCs/>
          <w:sz w:val="28"/>
          <w:szCs w:val="28"/>
          <w:lang w:val="fr-FR"/>
        </w:rPr>
        <w:t>é</w:t>
      </w:r>
      <w:r w:rsidRPr="00871515">
        <w:rPr>
          <w:rFonts w:ascii="Times New Roman" w:hAnsi="Times New Roman" w:cs="Times New Roman"/>
          <w:b/>
          <w:bCs/>
          <w:sz w:val="28"/>
          <w:szCs w:val="28"/>
          <w:lang w:val="fr-FR"/>
        </w:rPr>
        <w:t>amb</w:t>
      </w:r>
      <w:r w:rsidR="00A94182" w:rsidRPr="00871515">
        <w:rPr>
          <w:rFonts w:ascii="Times New Roman" w:hAnsi="Times New Roman" w:cs="Times New Roman"/>
          <w:b/>
          <w:bCs/>
          <w:sz w:val="28"/>
          <w:szCs w:val="28"/>
          <w:lang w:val="fr-FR"/>
        </w:rPr>
        <w:t>u</w:t>
      </w:r>
      <w:r w:rsidRPr="00871515">
        <w:rPr>
          <w:rFonts w:ascii="Times New Roman" w:hAnsi="Times New Roman" w:cs="Times New Roman"/>
          <w:b/>
          <w:bCs/>
          <w:sz w:val="28"/>
          <w:szCs w:val="28"/>
          <w:lang w:val="fr-FR"/>
        </w:rPr>
        <w:t>le</w:t>
      </w:r>
    </w:p>
    <w:p w14:paraId="73414250" w14:textId="2286C212" w:rsidR="00A94182" w:rsidRDefault="00A94182" w:rsidP="00871515">
      <w:pPr>
        <w:spacing w:after="0" w:line="240" w:lineRule="auto"/>
        <w:jc w:val="both"/>
        <w:rPr>
          <w:rFonts w:asciiTheme="majorBidi" w:hAnsiTheme="majorBidi" w:cstheme="majorBidi"/>
          <w:sz w:val="28"/>
          <w:szCs w:val="28"/>
          <w:lang w:val="fr-FR"/>
        </w:rPr>
      </w:pPr>
      <w:r w:rsidRPr="00871515">
        <w:rPr>
          <w:rFonts w:asciiTheme="majorBidi" w:hAnsiTheme="majorBidi" w:cstheme="majorBidi"/>
          <w:sz w:val="28"/>
          <w:szCs w:val="28"/>
          <w:lang w:val="fr-FR"/>
        </w:rPr>
        <w:t>Comme nous le savons tous, les nombreux pays les moins avancés et à faible revenu de l'OCI sont basés sur l'agriculture où, en raison de ressources financières limitées, à la fois au niveau national et en termes d'investissements directs étrangers (IDE), le potentiel agricole inhérent de ces pays n'est pas se manifestent sous la forme de niveaux raisonnables de production agricole et de sécurité alimentaire. Par conséquent, les investissements intra-OCI dans de tels projets devraient être encouragés, en particulier, dans les pays membres ci-dessus pour augmenter la productivité agricole et / ou l'extension des terres arables grâce à la fourniture de semences améliorées, d'engrais, de machines et de systèmes d'irrigation modernes ainsi que par le le développement des infrastructures rurales et la transformation des matières premières, en particulier les produits alimentaires dans le but de créer des agro-industries nationales pour améliorer l'état de la sécurité alimentaire au niveau régional de l'OCI.</w:t>
      </w:r>
    </w:p>
    <w:p w14:paraId="26CFEACE" w14:textId="77777777" w:rsidR="00871515" w:rsidRPr="00871515" w:rsidRDefault="00871515" w:rsidP="00871515">
      <w:pPr>
        <w:spacing w:after="0" w:line="240" w:lineRule="auto"/>
        <w:jc w:val="both"/>
        <w:rPr>
          <w:rFonts w:asciiTheme="majorBidi" w:hAnsiTheme="majorBidi" w:cstheme="majorBidi"/>
          <w:sz w:val="28"/>
          <w:szCs w:val="28"/>
          <w:lang w:val="fr-FR"/>
        </w:rPr>
      </w:pPr>
    </w:p>
    <w:p w14:paraId="0605F446" w14:textId="77777777" w:rsidR="00871515" w:rsidRDefault="00A94182" w:rsidP="00871515">
      <w:pPr>
        <w:spacing w:after="0" w:line="240" w:lineRule="auto"/>
        <w:jc w:val="both"/>
        <w:rPr>
          <w:rFonts w:asciiTheme="majorBidi" w:hAnsiTheme="majorBidi" w:cstheme="majorBidi"/>
          <w:sz w:val="28"/>
          <w:szCs w:val="28"/>
          <w:lang w:val="fr-FR"/>
        </w:rPr>
      </w:pPr>
      <w:r w:rsidRPr="00871515">
        <w:rPr>
          <w:rFonts w:asciiTheme="majorBidi" w:hAnsiTheme="majorBidi" w:cstheme="majorBidi"/>
          <w:sz w:val="28"/>
          <w:szCs w:val="28"/>
          <w:lang w:val="fr-FR"/>
        </w:rPr>
        <w:t>À cette fin, l'OCI dispose de divers outils de promotion du commerce et de l'investissement qui pourraient être utilisés par l'OISA, y compris les traités internationaux existants, à savoir: l'Accord général de coopération économique, technique et commerciale entre les États membres de l'OCI, l'Accord de l'OCI pour la promotion, la protection et la garantie des investissements entre les États membres de l'OCI et l'Accord-cadre sur le système de préférences commerciales. Outre ces traités, il existe un large éventail de domaines qui nécessitent une attention particulière de la part des États membres afin de renforcer les liens commerciaux et d'attirer les investissements tout en diminuant les obstacles à la promotion du commerce dans le domaine du commerce et des investissements agroalimentaires.</w:t>
      </w:r>
    </w:p>
    <w:p w14:paraId="0A1ED4E1" w14:textId="116FB881" w:rsidR="00A06628" w:rsidRPr="00871515" w:rsidRDefault="00BD766F" w:rsidP="00871515">
      <w:pPr>
        <w:spacing w:after="0" w:line="240" w:lineRule="auto"/>
        <w:jc w:val="both"/>
        <w:rPr>
          <w:rFonts w:asciiTheme="majorBidi" w:hAnsiTheme="majorBidi" w:cstheme="majorBidi"/>
          <w:sz w:val="28"/>
          <w:szCs w:val="28"/>
          <w:lang w:val="fr-FR"/>
        </w:rPr>
      </w:pPr>
      <w:r w:rsidRPr="00871515">
        <w:rPr>
          <w:rFonts w:asciiTheme="majorBidi" w:hAnsiTheme="majorBidi" w:cstheme="majorBidi"/>
          <w:sz w:val="28"/>
          <w:szCs w:val="28"/>
          <w:lang w:val="fr-FR"/>
        </w:rPr>
        <w:t xml:space="preserve">  </w:t>
      </w:r>
    </w:p>
    <w:p w14:paraId="74E5353E" w14:textId="7D13377E" w:rsidR="00BD766F" w:rsidRPr="00871515" w:rsidRDefault="00A94182" w:rsidP="00871515">
      <w:pPr>
        <w:spacing w:after="0" w:line="240" w:lineRule="auto"/>
        <w:jc w:val="both"/>
        <w:rPr>
          <w:rFonts w:asciiTheme="majorBidi" w:hAnsiTheme="majorBidi" w:cstheme="majorBidi"/>
          <w:b/>
          <w:bCs/>
          <w:sz w:val="28"/>
          <w:szCs w:val="28"/>
          <w:lang w:val="fr-FR"/>
        </w:rPr>
      </w:pPr>
      <w:r w:rsidRPr="00871515">
        <w:rPr>
          <w:rFonts w:asciiTheme="majorBidi" w:hAnsiTheme="majorBidi" w:cstheme="majorBidi"/>
          <w:b/>
          <w:bCs/>
          <w:sz w:val="28"/>
          <w:szCs w:val="28"/>
          <w:lang w:val="fr-FR"/>
        </w:rPr>
        <w:t>L</w:t>
      </w:r>
      <w:r w:rsidR="00163252">
        <w:rPr>
          <w:rFonts w:asciiTheme="majorBidi" w:hAnsiTheme="majorBidi" w:cstheme="majorBidi"/>
          <w:b/>
          <w:bCs/>
          <w:sz w:val="28"/>
          <w:szCs w:val="28"/>
          <w:lang w:val="fr-FR"/>
        </w:rPr>
        <w:t>e</w:t>
      </w:r>
      <w:r w:rsidRPr="00871515">
        <w:rPr>
          <w:rFonts w:asciiTheme="majorBidi" w:hAnsiTheme="majorBidi" w:cstheme="majorBidi"/>
          <w:b/>
          <w:bCs/>
          <w:sz w:val="28"/>
          <w:szCs w:val="28"/>
          <w:lang w:val="fr-FR"/>
        </w:rPr>
        <w:t xml:space="preserve"> suiv</w:t>
      </w:r>
      <w:r w:rsidR="005E2BE5" w:rsidRPr="00871515">
        <w:rPr>
          <w:rFonts w:asciiTheme="majorBidi" w:hAnsiTheme="majorBidi" w:cstheme="majorBidi"/>
          <w:b/>
          <w:bCs/>
          <w:sz w:val="28"/>
          <w:szCs w:val="28"/>
          <w:lang w:val="fr-FR"/>
        </w:rPr>
        <w:t>i</w:t>
      </w:r>
    </w:p>
    <w:p w14:paraId="3A265B33" w14:textId="4D7229B3" w:rsidR="0042696D" w:rsidRDefault="00A94182" w:rsidP="00871515">
      <w:pPr>
        <w:spacing w:after="0" w:line="240" w:lineRule="auto"/>
        <w:jc w:val="both"/>
        <w:rPr>
          <w:rFonts w:asciiTheme="majorBidi" w:hAnsiTheme="majorBidi" w:cstheme="majorBidi"/>
          <w:sz w:val="28"/>
          <w:szCs w:val="28"/>
          <w:lang w:val="fr-FR"/>
        </w:rPr>
      </w:pPr>
      <w:r w:rsidRPr="00871515">
        <w:rPr>
          <w:rFonts w:asciiTheme="majorBidi" w:hAnsiTheme="majorBidi" w:cstheme="majorBidi"/>
          <w:sz w:val="28"/>
          <w:szCs w:val="28"/>
          <w:lang w:val="fr-FR"/>
        </w:rPr>
        <w:t xml:space="preserve">Cette Note conceptuelle guiderait les activités de l'OISA sur la promotion des investissements dans le domaine de l'agroalimentaire, en utilisant les outils de base </w:t>
      </w:r>
      <w:r w:rsidRPr="00871515">
        <w:rPr>
          <w:rFonts w:asciiTheme="majorBidi" w:hAnsiTheme="majorBidi" w:cstheme="majorBidi"/>
          <w:sz w:val="28"/>
          <w:szCs w:val="28"/>
          <w:lang w:val="fr-FR"/>
        </w:rPr>
        <w:lastRenderedPageBreak/>
        <w:t>déjà convenus par l'OCI, tout en s'inspirant des meilleures pratiques d'investissement mondiales et en facilitant le travail conjoint avec les agences de promotion des investissements des États membres de l'OCI. Le suivi solide avec les pays membres de l'OCI / OISA et les institutions pertinentes de l'OCI sur le climat d'investissement et concentration sur les projets de transformation alimentaire. En conséquence, l'accent doit être mis principalement sur le soutien à l'investissement dans les secteurs alimentaires nationaux et sur l'établissement de chaînes d'approvisionnement alimentaire. Les principaux projets à cet égard concerneraient la transformation des aliments à haute valeur ajoutée et la logistique et le transport respectifs. L'OISA commence avec des pays pilotes et délègue ensuite ce programme à l'Association Islamique Internationale de Transformation alimentaire (IFPA) en raison de la nature privée de l'IDE.</w:t>
      </w:r>
      <w:r w:rsidR="007530F5" w:rsidRPr="00871515">
        <w:rPr>
          <w:rFonts w:asciiTheme="majorBidi" w:hAnsiTheme="majorBidi" w:cstheme="majorBidi"/>
          <w:sz w:val="28"/>
          <w:szCs w:val="28"/>
          <w:lang w:val="fr-FR"/>
        </w:rPr>
        <w:t xml:space="preserve"> </w:t>
      </w:r>
    </w:p>
    <w:p w14:paraId="2FB684FB" w14:textId="77777777" w:rsidR="00871515" w:rsidRPr="00871515" w:rsidRDefault="00871515" w:rsidP="00871515">
      <w:pPr>
        <w:spacing w:after="0" w:line="240" w:lineRule="auto"/>
        <w:jc w:val="both"/>
        <w:rPr>
          <w:rFonts w:asciiTheme="majorBidi" w:hAnsiTheme="majorBidi" w:cstheme="majorBidi"/>
          <w:sz w:val="28"/>
          <w:szCs w:val="28"/>
          <w:lang w:val="fr-FR"/>
        </w:rPr>
      </w:pPr>
    </w:p>
    <w:p w14:paraId="65777631" w14:textId="6310833E" w:rsidR="00546F64" w:rsidRPr="00871515" w:rsidRDefault="005E2BE5" w:rsidP="00871515">
      <w:pPr>
        <w:spacing w:after="0" w:line="240" w:lineRule="auto"/>
        <w:jc w:val="both"/>
        <w:rPr>
          <w:rFonts w:ascii="Times New Roman" w:hAnsi="Times New Roman" w:cs="Times New Roman"/>
          <w:b/>
          <w:bCs/>
          <w:sz w:val="28"/>
          <w:szCs w:val="28"/>
          <w:lang w:val="fr-FR"/>
        </w:rPr>
      </w:pPr>
      <w:r w:rsidRPr="00871515">
        <w:rPr>
          <w:rFonts w:ascii="Times New Roman" w:hAnsi="Times New Roman" w:cs="Times New Roman"/>
          <w:b/>
          <w:bCs/>
          <w:sz w:val="28"/>
          <w:szCs w:val="28"/>
          <w:lang w:val="fr-FR"/>
        </w:rPr>
        <w:t>La c</w:t>
      </w:r>
      <w:r w:rsidR="00546F64" w:rsidRPr="00871515">
        <w:rPr>
          <w:rFonts w:ascii="Times New Roman" w:hAnsi="Times New Roman" w:cs="Times New Roman"/>
          <w:b/>
          <w:bCs/>
          <w:sz w:val="28"/>
          <w:szCs w:val="28"/>
          <w:lang w:val="fr-FR"/>
        </w:rPr>
        <w:t>onclusion</w:t>
      </w:r>
    </w:p>
    <w:p w14:paraId="4BAED746" w14:textId="1A15B5E0" w:rsidR="00546F64" w:rsidRPr="00871515" w:rsidRDefault="00A94182" w:rsidP="00871515">
      <w:pPr>
        <w:spacing w:after="0" w:line="240" w:lineRule="auto"/>
        <w:jc w:val="both"/>
        <w:rPr>
          <w:rFonts w:ascii="Times New Roman" w:hAnsi="Times New Roman" w:cs="Times New Roman"/>
          <w:sz w:val="28"/>
          <w:szCs w:val="28"/>
          <w:lang w:val="fr-FR"/>
        </w:rPr>
      </w:pPr>
      <w:r w:rsidRPr="00871515">
        <w:rPr>
          <w:rFonts w:ascii="Times New Roman" w:hAnsi="Times New Roman" w:cs="Times New Roman"/>
          <w:sz w:val="28"/>
          <w:szCs w:val="28"/>
          <w:lang w:val="fr-FR"/>
        </w:rPr>
        <w:t xml:space="preserve">L'Assemblée </w:t>
      </w:r>
      <w:r w:rsidR="0042696D" w:rsidRPr="00871515">
        <w:rPr>
          <w:rFonts w:ascii="Times New Roman" w:hAnsi="Times New Roman" w:cs="Times New Roman"/>
          <w:sz w:val="28"/>
          <w:szCs w:val="28"/>
          <w:lang w:val="fr-FR"/>
        </w:rPr>
        <w:t>G</w:t>
      </w:r>
      <w:r w:rsidRPr="00871515">
        <w:rPr>
          <w:rFonts w:ascii="Times New Roman" w:hAnsi="Times New Roman" w:cs="Times New Roman"/>
          <w:sz w:val="28"/>
          <w:szCs w:val="28"/>
          <w:lang w:val="fr-FR"/>
        </w:rPr>
        <w:t>énérale examinera la note conceptuelle sur le programme de développement des secteurs alimentaires nationaux en coopération avec les agences nationales d'investissement et adoptera la résolution qui guidera l'action des États membres dans le secteur du commerce et de l'investissement agroalimentaire, y compris le rôle de coordination du Secrétariat de l'OISA</w:t>
      </w:r>
      <w:r w:rsidR="00B043CA" w:rsidRPr="00871515">
        <w:rPr>
          <w:rFonts w:ascii="Times New Roman" w:hAnsi="Times New Roman" w:cs="Times New Roman"/>
          <w:sz w:val="28"/>
          <w:szCs w:val="28"/>
          <w:lang w:val="fr-FR"/>
        </w:rPr>
        <w:t>.</w:t>
      </w:r>
    </w:p>
    <w:p w14:paraId="3B0F44D3" w14:textId="77777777" w:rsidR="005A3C3E" w:rsidRPr="00871515" w:rsidRDefault="005A3C3E" w:rsidP="00871515">
      <w:pPr>
        <w:spacing w:before="120" w:after="0" w:line="240" w:lineRule="auto"/>
        <w:jc w:val="both"/>
        <w:rPr>
          <w:rFonts w:ascii="Times New Roman" w:hAnsi="Times New Roman" w:cs="Times New Roman"/>
          <w:i/>
          <w:iCs/>
          <w:sz w:val="28"/>
          <w:szCs w:val="28"/>
          <w:u w:val="single"/>
          <w:lang w:val="fr-FR"/>
        </w:rPr>
      </w:pPr>
    </w:p>
    <w:p w14:paraId="4D9AC4EA" w14:textId="75B93190" w:rsidR="005A3C3E" w:rsidRPr="007453FD" w:rsidRDefault="00871515" w:rsidP="00871515">
      <w:pPr>
        <w:pStyle w:val="a3"/>
        <w:numPr>
          <w:ilvl w:val="0"/>
          <w:numId w:val="14"/>
        </w:numPr>
        <w:spacing w:before="120" w:after="0" w:line="240" w:lineRule="auto"/>
        <w:jc w:val="both"/>
        <w:rPr>
          <w:rFonts w:ascii="Times New Roman" w:hAnsi="Times New Roman" w:cs="Times New Roman"/>
          <w:sz w:val="28"/>
          <w:szCs w:val="28"/>
          <w:lang w:val="fr-FR"/>
        </w:rPr>
      </w:pPr>
      <w:r w:rsidRPr="00871515">
        <w:rPr>
          <w:rFonts w:ascii="Times New Roman" w:hAnsi="Times New Roman" w:cs="Times New Roman"/>
          <w:sz w:val="28"/>
          <w:szCs w:val="28"/>
          <w:lang w:val="fr-FR"/>
        </w:rPr>
        <w:t>S</w:t>
      </w:r>
      <w:r w:rsidR="007507CA" w:rsidRPr="00871515">
        <w:rPr>
          <w:rFonts w:asciiTheme="majorBidi" w:hAnsiTheme="majorBidi" w:cstheme="majorBidi"/>
          <w:sz w:val="28"/>
          <w:szCs w:val="28"/>
          <w:lang w:val="fr-FR"/>
        </w:rPr>
        <w:t>û</w:t>
      </w:r>
      <w:r w:rsidRPr="00871515">
        <w:rPr>
          <w:rFonts w:ascii="Times New Roman" w:hAnsi="Times New Roman" w:cs="Times New Roman"/>
          <w:sz w:val="28"/>
          <w:szCs w:val="28"/>
          <w:lang w:val="fr-FR"/>
        </w:rPr>
        <w:t xml:space="preserve">reté Alimentaire </w:t>
      </w:r>
      <w:r w:rsidR="006874A9">
        <w:rPr>
          <w:rFonts w:ascii="Times New Roman" w:hAnsi="Times New Roman" w:cs="Times New Roman"/>
          <w:sz w:val="28"/>
          <w:szCs w:val="28"/>
          <w:lang w:val="fr-FR"/>
        </w:rPr>
        <w:t>e</w:t>
      </w:r>
      <w:r w:rsidRPr="00871515">
        <w:rPr>
          <w:rFonts w:ascii="Times New Roman" w:hAnsi="Times New Roman" w:cs="Times New Roman"/>
          <w:sz w:val="28"/>
          <w:szCs w:val="28"/>
          <w:lang w:val="fr-FR"/>
        </w:rPr>
        <w:t>t Développement Alimentaire Halal</w:t>
      </w:r>
    </w:p>
    <w:p w14:paraId="45811E3F" w14:textId="4DF6D732" w:rsidR="005A3C3E" w:rsidRPr="00871515" w:rsidRDefault="005A3C3E" w:rsidP="00871515">
      <w:pPr>
        <w:spacing w:after="0" w:line="240" w:lineRule="auto"/>
        <w:jc w:val="both"/>
        <w:rPr>
          <w:rFonts w:ascii="Times New Roman" w:hAnsi="Times New Roman" w:cs="Times New Roman"/>
          <w:b/>
          <w:bCs/>
          <w:sz w:val="28"/>
          <w:szCs w:val="28"/>
          <w:lang w:val="fr-FR"/>
        </w:rPr>
      </w:pPr>
      <w:r w:rsidRPr="00871515">
        <w:rPr>
          <w:rFonts w:ascii="Times New Roman" w:hAnsi="Times New Roman" w:cs="Times New Roman"/>
          <w:b/>
          <w:bCs/>
          <w:sz w:val="28"/>
          <w:szCs w:val="28"/>
          <w:lang w:val="fr-FR"/>
        </w:rPr>
        <w:t>Pr</w:t>
      </w:r>
      <w:r w:rsidR="0042696D" w:rsidRPr="00871515">
        <w:rPr>
          <w:rFonts w:ascii="Times New Roman" w:hAnsi="Times New Roman" w:cs="Times New Roman"/>
          <w:b/>
          <w:bCs/>
          <w:sz w:val="28"/>
          <w:szCs w:val="28"/>
          <w:lang w:val="fr-FR"/>
        </w:rPr>
        <w:t>é</w:t>
      </w:r>
      <w:r w:rsidRPr="00871515">
        <w:rPr>
          <w:rFonts w:ascii="Times New Roman" w:hAnsi="Times New Roman" w:cs="Times New Roman"/>
          <w:b/>
          <w:bCs/>
          <w:sz w:val="28"/>
          <w:szCs w:val="28"/>
          <w:lang w:val="fr-FR"/>
        </w:rPr>
        <w:t>amb</w:t>
      </w:r>
      <w:r w:rsidR="0042696D" w:rsidRPr="00871515">
        <w:rPr>
          <w:rFonts w:ascii="Times New Roman" w:hAnsi="Times New Roman" w:cs="Times New Roman"/>
          <w:b/>
          <w:bCs/>
          <w:sz w:val="28"/>
          <w:szCs w:val="28"/>
          <w:lang w:val="fr-FR"/>
        </w:rPr>
        <w:t>u</w:t>
      </w:r>
      <w:r w:rsidRPr="00871515">
        <w:rPr>
          <w:rFonts w:ascii="Times New Roman" w:hAnsi="Times New Roman" w:cs="Times New Roman"/>
          <w:b/>
          <w:bCs/>
          <w:sz w:val="28"/>
          <w:szCs w:val="28"/>
          <w:lang w:val="fr-FR"/>
        </w:rPr>
        <w:t>le</w:t>
      </w:r>
      <w:r w:rsidR="0042696D" w:rsidRPr="00871515">
        <w:rPr>
          <w:rFonts w:ascii="Times New Roman" w:hAnsi="Times New Roman" w:cs="Times New Roman"/>
          <w:b/>
          <w:bCs/>
          <w:sz w:val="28"/>
          <w:szCs w:val="28"/>
          <w:lang w:val="fr-FR"/>
        </w:rPr>
        <w:t xml:space="preserve"> </w:t>
      </w:r>
    </w:p>
    <w:p w14:paraId="5AD874C5" w14:textId="77777777" w:rsidR="0042696D" w:rsidRPr="00871515" w:rsidRDefault="0042696D" w:rsidP="00871515">
      <w:pPr>
        <w:spacing w:after="0" w:line="240" w:lineRule="auto"/>
        <w:jc w:val="both"/>
        <w:rPr>
          <w:rFonts w:asciiTheme="majorBidi" w:hAnsiTheme="majorBidi" w:cstheme="majorBidi"/>
          <w:sz w:val="28"/>
          <w:szCs w:val="28"/>
          <w:lang w:val="fr-FR"/>
        </w:rPr>
      </w:pPr>
      <w:r w:rsidRPr="00871515">
        <w:rPr>
          <w:rFonts w:asciiTheme="majorBidi" w:hAnsiTheme="majorBidi" w:cstheme="majorBidi"/>
          <w:sz w:val="28"/>
          <w:szCs w:val="28"/>
          <w:lang w:val="fr-FR"/>
        </w:rPr>
        <w:t>La nourriture Halal est en outre requise pour répondre aux mesures mondiales de sécurité alimentaire. Les principes Halal tout au long de la chaîne de valeur «du gène à la fourchette» incitent les consommateurs à considérer les produits alimentaires halal comme sains, biologiques, éthiques et plus respectueux des animaux. La nourriture Halal ne signifie pas seulement un produit ou seulement des restrictions sur les matières premières et les ingrédients en soi, mais implique également l'ensemble du processus d'alimentation, d'abattage, de manipulation, de préparation et de stockage de ces aliments. Ces procédures attirent les consommateurs non musulmans vers la nourriture Halal et, par conséquent, sa valeur sur le marché mondial est florissante à l'échelle mondiale. Le marché alimentaire Halal est évalué et devrait atteindre une valeur de 3,3 billions de dollars américains d'ici 2025.</w:t>
      </w:r>
    </w:p>
    <w:p w14:paraId="0AAFAB22" w14:textId="3CCD2142" w:rsidR="005A3C3E" w:rsidRDefault="0042696D" w:rsidP="00871515">
      <w:pPr>
        <w:spacing w:after="0" w:line="240" w:lineRule="auto"/>
        <w:jc w:val="both"/>
        <w:rPr>
          <w:rFonts w:asciiTheme="majorBidi" w:hAnsiTheme="majorBidi" w:cstheme="majorBidi"/>
          <w:sz w:val="28"/>
          <w:szCs w:val="28"/>
          <w:lang w:val="fr-FR"/>
        </w:rPr>
      </w:pPr>
      <w:r w:rsidRPr="00871515">
        <w:rPr>
          <w:rFonts w:asciiTheme="majorBidi" w:hAnsiTheme="majorBidi" w:cstheme="majorBidi"/>
          <w:sz w:val="28"/>
          <w:szCs w:val="28"/>
          <w:lang w:val="fr-FR"/>
        </w:rPr>
        <w:t>La production, le processus et le commerce des aliments sûrs jouent le rôle central du cadre d'innovation scientifique et technologique de l'Organisation de la Coopération Islamique (OCI) (OCI STI 2026). L'Organisation Islamique pour la Sécurité Alimentaire (OISA), une institution spécialisée de l'OCI, comprend que la sûreté alimentaire va toujours de pair avec la sécurité alimentaire</w:t>
      </w:r>
      <w:r w:rsidR="005A3C3E" w:rsidRPr="00871515">
        <w:rPr>
          <w:rFonts w:asciiTheme="majorBidi" w:hAnsiTheme="majorBidi" w:cstheme="majorBidi"/>
          <w:sz w:val="28"/>
          <w:szCs w:val="28"/>
          <w:lang w:val="fr-FR"/>
        </w:rPr>
        <w:t>.</w:t>
      </w:r>
    </w:p>
    <w:p w14:paraId="6640E749" w14:textId="77777777" w:rsidR="00871515" w:rsidRPr="00871515" w:rsidRDefault="00871515" w:rsidP="00871515">
      <w:pPr>
        <w:spacing w:after="0" w:line="240" w:lineRule="auto"/>
        <w:jc w:val="both"/>
        <w:rPr>
          <w:rFonts w:asciiTheme="majorBidi" w:hAnsiTheme="majorBidi" w:cstheme="majorBidi"/>
          <w:sz w:val="28"/>
          <w:szCs w:val="28"/>
          <w:lang w:val="fr-FR"/>
        </w:rPr>
      </w:pPr>
    </w:p>
    <w:p w14:paraId="1044DC38" w14:textId="0D9170CF" w:rsidR="005A3C3E" w:rsidRPr="00871515" w:rsidRDefault="0042696D" w:rsidP="00871515">
      <w:pPr>
        <w:spacing w:after="0" w:line="240" w:lineRule="auto"/>
        <w:jc w:val="both"/>
        <w:rPr>
          <w:rFonts w:asciiTheme="majorBidi" w:hAnsiTheme="majorBidi" w:cstheme="majorBidi"/>
          <w:b/>
          <w:bCs/>
          <w:sz w:val="28"/>
          <w:szCs w:val="28"/>
          <w:lang w:val="fr-FR"/>
        </w:rPr>
      </w:pPr>
      <w:r w:rsidRPr="00871515">
        <w:rPr>
          <w:rFonts w:asciiTheme="majorBidi" w:hAnsiTheme="majorBidi" w:cstheme="majorBidi"/>
          <w:b/>
          <w:bCs/>
          <w:sz w:val="28"/>
          <w:szCs w:val="28"/>
          <w:lang w:val="fr-FR"/>
        </w:rPr>
        <w:t>L</w:t>
      </w:r>
      <w:r w:rsidR="00254B36">
        <w:rPr>
          <w:rFonts w:asciiTheme="majorBidi" w:hAnsiTheme="majorBidi" w:cstheme="majorBidi"/>
          <w:b/>
          <w:bCs/>
          <w:sz w:val="28"/>
          <w:szCs w:val="28"/>
          <w:lang w:val="fr-FR"/>
        </w:rPr>
        <w:t>e</w:t>
      </w:r>
      <w:r w:rsidRPr="00871515">
        <w:rPr>
          <w:rFonts w:asciiTheme="majorBidi" w:hAnsiTheme="majorBidi" w:cstheme="majorBidi"/>
          <w:b/>
          <w:bCs/>
          <w:sz w:val="28"/>
          <w:szCs w:val="28"/>
          <w:lang w:val="fr-FR"/>
        </w:rPr>
        <w:t xml:space="preserve"> suiv</w:t>
      </w:r>
      <w:r w:rsidR="005E2BE5" w:rsidRPr="00871515">
        <w:rPr>
          <w:rFonts w:asciiTheme="majorBidi" w:hAnsiTheme="majorBidi" w:cstheme="majorBidi"/>
          <w:b/>
          <w:bCs/>
          <w:sz w:val="28"/>
          <w:szCs w:val="28"/>
          <w:lang w:val="fr-FR"/>
        </w:rPr>
        <w:t>i</w:t>
      </w:r>
    </w:p>
    <w:p w14:paraId="08A79959" w14:textId="77777777" w:rsidR="00871515" w:rsidRDefault="0042696D" w:rsidP="00871515">
      <w:pPr>
        <w:spacing w:after="0" w:line="240" w:lineRule="auto"/>
        <w:jc w:val="both"/>
        <w:rPr>
          <w:rFonts w:asciiTheme="majorBidi" w:hAnsiTheme="majorBidi" w:cstheme="majorBidi"/>
          <w:sz w:val="28"/>
          <w:szCs w:val="28"/>
          <w:lang w:val="fr-FR"/>
        </w:rPr>
      </w:pPr>
      <w:r w:rsidRPr="00871515">
        <w:rPr>
          <w:rFonts w:asciiTheme="majorBidi" w:hAnsiTheme="majorBidi" w:cstheme="majorBidi"/>
          <w:sz w:val="28"/>
          <w:szCs w:val="28"/>
          <w:lang w:val="fr-FR"/>
        </w:rPr>
        <w:t xml:space="preserve">Dans le domaine du commerce et de l'investissement agroalimentaire, cette Note conceptuelle guiderait les activités de l'OISA sur le développement des aliments sûre et Halal dans le domaine de l'agroalimentaire, en utilisant les outils de base déjà convenus par l'OCI, elle assurerait la collaboration avec les Institutions de l'OCI, organes d'État des pays membres de l'OCI. En conséquence, l'accent doit être mis </w:t>
      </w:r>
      <w:r w:rsidRPr="00871515">
        <w:rPr>
          <w:rFonts w:asciiTheme="majorBidi" w:hAnsiTheme="majorBidi" w:cstheme="majorBidi"/>
          <w:sz w:val="28"/>
          <w:szCs w:val="28"/>
          <w:lang w:val="fr-FR"/>
        </w:rPr>
        <w:lastRenderedPageBreak/>
        <w:t>sur la promotion du développement de l'investissement dans la production alimentaire sûre et Halal dans le domaine intra-OCI et sur l'enthousiasme que les pays membres de l'OCI gagneraient de l'augmentation de la part de marché mondiale des aliments Halal. Actuellement, la majeure partie de ce marché appartient à des fournisseurs de pays tiers. L'OISA se concentre sur le fait de permettre aux pays de l'OCI à fort potentiel agricole de développer leur propre transformation des aliments nationaux et d'augmenter les avantages compétitifs des chaînes d'approvisionnement alimentaire intra-OCI. Ces facteurs conduiraient sûrement à une sécurité alimentaire à long terme plus forte et durable de toute la région de l'OCI</w:t>
      </w:r>
      <w:r w:rsidR="005A3C3E" w:rsidRPr="00871515">
        <w:rPr>
          <w:rFonts w:asciiTheme="majorBidi" w:hAnsiTheme="majorBidi" w:cstheme="majorBidi"/>
          <w:sz w:val="28"/>
          <w:szCs w:val="28"/>
          <w:lang w:val="fr-FR"/>
        </w:rPr>
        <w:t xml:space="preserve">.   </w:t>
      </w:r>
    </w:p>
    <w:p w14:paraId="3CC111E8" w14:textId="5BE8AFA8" w:rsidR="005A3C3E" w:rsidRPr="00871515" w:rsidRDefault="005A3C3E" w:rsidP="00871515">
      <w:pPr>
        <w:spacing w:after="0" w:line="240" w:lineRule="auto"/>
        <w:jc w:val="both"/>
        <w:rPr>
          <w:rFonts w:asciiTheme="majorBidi" w:hAnsiTheme="majorBidi" w:cstheme="majorBidi"/>
          <w:sz w:val="28"/>
          <w:szCs w:val="28"/>
          <w:lang w:val="fr-FR"/>
        </w:rPr>
      </w:pPr>
      <w:r w:rsidRPr="00871515">
        <w:rPr>
          <w:rFonts w:asciiTheme="majorBidi" w:hAnsiTheme="majorBidi" w:cstheme="majorBidi"/>
          <w:sz w:val="28"/>
          <w:szCs w:val="28"/>
          <w:lang w:val="fr-FR"/>
        </w:rPr>
        <w:t xml:space="preserve"> </w:t>
      </w:r>
    </w:p>
    <w:p w14:paraId="55D8C8A6" w14:textId="0211DC61" w:rsidR="005A3C3E" w:rsidRPr="00871515" w:rsidRDefault="005E2BE5" w:rsidP="00871515">
      <w:pPr>
        <w:spacing w:after="0" w:line="240" w:lineRule="auto"/>
        <w:jc w:val="both"/>
        <w:rPr>
          <w:rFonts w:ascii="Times New Roman" w:hAnsi="Times New Roman" w:cs="Times New Roman"/>
          <w:b/>
          <w:bCs/>
          <w:sz w:val="28"/>
          <w:szCs w:val="28"/>
          <w:lang w:val="fr-FR"/>
        </w:rPr>
      </w:pPr>
      <w:r w:rsidRPr="00871515">
        <w:rPr>
          <w:rFonts w:ascii="Times New Roman" w:hAnsi="Times New Roman" w:cs="Times New Roman"/>
          <w:b/>
          <w:bCs/>
          <w:sz w:val="28"/>
          <w:szCs w:val="28"/>
          <w:lang w:val="fr-FR"/>
        </w:rPr>
        <w:t>La c</w:t>
      </w:r>
      <w:r w:rsidR="005A3C3E" w:rsidRPr="00871515">
        <w:rPr>
          <w:rFonts w:ascii="Times New Roman" w:hAnsi="Times New Roman" w:cs="Times New Roman"/>
          <w:b/>
          <w:bCs/>
          <w:sz w:val="28"/>
          <w:szCs w:val="28"/>
          <w:lang w:val="fr-FR"/>
        </w:rPr>
        <w:t>onclusion</w:t>
      </w:r>
    </w:p>
    <w:p w14:paraId="1A27619C" w14:textId="31E9B4CF" w:rsidR="005A3C3E" w:rsidRDefault="00B529C0" w:rsidP="00871515">
      <w:pPr>
        <w:spacing w:after="0" w:line="240" w:lineRule="auto"/>
        <w:jc w:val="both"/>
        <w:rPr>
          <w:rFonts w:ascii="Times New Roman" w:hAnsi="Times New Roman" w:cs="Times New Roman"/>
          <w:sz w:val="28"/>
          <w:szCs w:val="28"/>
          <w:lang w:val="fr-FR"/>
        </w:rPr>
      </w:pPr>
      <w:r w:rsidRPr="00871515">
        <w:rPr>
          <w:rFonts w:ascii="Times New Roman" w:hAnsi="Times New Roman" w:cs="Times New Roman"/>
          <w:sz w:val="28"/>
          <w:szCs w:val="28"/>
          <w:lang w:val="fr-FR"/>
        </w:rPr>
        <w:t>L'Assemblée Générale examinera la Note conceptuelle et adoptera la résolution qui guidera l'action des États membres sur les efforts de vulgarisation et de promotion des aliments sûre et Halal, y compris le rôle de coordination du Secrétariat de l'OISA</w:t>
      </w:r>
      <w:r w:rsidR="005A3C3E" w:rsidRPr="00871515">
        <w:rPr>
          <w:rFonts w:ascii="Times New Roman" w:hAnsi="Times New Roman" w:cs="Times New Roman"/>
          <w:sz w:val="28"/>
          <w:szCs w:val="28"/>
          <w:lang w:val="fr-FR"/>
        </w:rPr>
        <w:t>.</w:t>
      </w:r>
    </w:p>
    <w:p w14:paraId="6DCA3254" w14:textId="00F9A526" w:rsidR="00871515" w:rsidRDefault="00871515" w:rsidP="00871515">
      <w:pPr>
        <w:spacing w:after="0" w:line="240" w:lineRule="auto"/>
        <w:jc w:val="both"/>
        <w:rPr>
          <w:rFonts w:ascii="Times New Roman" w:hAnsi="Times New Roman" w:cs="Times New Roman"/>
          <w:sz w:val="28"/>
          <w:szCs w:val="28"/>
          <w:lang w:val="fr-FR"/>
        </w:rPr>
      </w:pPr>
    </w:p>
    <w:p w14:paraId="21D8E9F7" w14:textId="77777777" w:rsidR="00871515" w:rsidRPr="00871515" w:rsidRDefault="00871515" w:rsidP="00871515">
      <w:pPr>
        <w:spacing w:after="0" w:line="240" w:lineRule="auto"/>
        <w:jc w:val="both"/>
        <w:rPr>
          <w:rFonts w:ascii="Times New Roman" w:hAnsi="Times New Roman" w:cs="Times New Roman"/>
          <w:sz w:val="28"/>
          <w:szCs w:val="28"/>
          <w:lang w:val="fr-FR"/>
        </w:rPr>
      </w:pPr>
    </w:p>
    <w:sectPr w:rsidR="00871515" w:rsidRPr="00871515" w:rsidSect="00871515">
      <w:footerReference w:type="default" r:id="rId8"/>
      <w:pgSz w:w="11906" w:h="16838"/>
      <w:pgMar w:top="851" w:right="851" w:bottom="851"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23F7BDC" w14:textId="77777777" w:rsidR="00E57AED" w:rsidRDefault="00E57AED" w:rsidP="0059348B">
      <w:pPr>
        <w:spacing w:after="0" w:line="240" w:lineRule="auto"/>
      </w:pPr>
      <w:r>
        <w:separator/>
      </w:r>
    </w:p>
  </w:endnote>
  <w:endnote w:type="continuationSeparator" w:id="0">
    <w:p w14:paraId="7D47F859" w14:textId="77777777" w:rsidR="00E57AED" w:rsidRDefault="00E57AED" w:rsidP="0059348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E088F19" w14:textId="1E617DD1" w:rsidR="0059348B" w:rsidRDefault="0059348B">
    <w:pPr>
      <w:pStyle w:val="a8"/>
      <w:jc w:val="right"/>
    </w:pPr>
  </w:p>
  <w:p w14:paraId="6189BEC7" w14:textId="77777777" w:rsidR="0059348B" w:rsidRDefault="0059348B">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901FE55" w14:textId="77777777" w:rsidR="00E57AED" w:rsidRDefault="00E57AED" w:rsidP="0059348B">
      <w:pPr>
        <w:spacing w:after="0" w:line="240" w:lineRule="auto"/>
      </w:pPr>
      <w:r>
        <w:separator/>
      </w:r>
    </w:p>
  </w:footnote>
  <w:footnote w:type="continuationSeparator" w:id="0">
    <w:p w14:paraId="7BF3DA57" w14:textId="77777777" w:rsidR="00E57AED" w:rsidRDefault="00E57AED" w:rsidP="0059348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BC32BD2"/>
    <w:multiLevelType w:val="hybridMultilevel"/>
    <w:tmpl w:val="FA82FA14"/>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1D7F3F7B"/>
    <w:multiLevelType w:val="hybridMultilevel"/>
    <w:tmpl w:val="19449548"/>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23367A21"/>
    <w:multiLevelType w:val="hybridMultilevel"/>
    <w:tmpl w:val="0EB6C84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2ED13DCC"/>
    <w:multiLevelType w:val="hybridMultilevel"/>
    <w:tmpl w:val="022A4E60"/>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30A021D8"/>
    <w:multiLevelType w:val="hybridMultilevel"/>
    <w:tmpl w:val="1FF0C60E"/>
    <w:lvl w:ilvl="0" w:tplc="F1CA5160">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37381B06"/>
    <w:multiLevelType w:val="hybridMultilevel"/>
    <w:tmpl w:val="8D34832A"/>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45EF2109"/>
    <w:multiLevelType w:val="hybridMultilevel"/>
    <w:tmpl w:val="01C2B8F0"/>
    <w:lvl w:ilvl="0" w:tplc="78DADA7A">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15:restartNumberingAfterBreak="0">
    <w:nsid w:val="53621D47"/>
    <w:multiLevelType w:val="hybridMultilevel"/>
    <w:tmpl w:val="DA0E07F6"/>
    <w:lvl w:ilvl="0" w:tplc="DDC44B24">
      <w:start w:val="1"/>
      <w:numFmt w:val="decimal"/>
      <w:lvlText w:val="(%1)"/>
      <w:lvlJc w:val="left"/>
      <w:pPr>
        <w:ind w:left="720" w:hanging="360"/>
      </w:pPr>
      <w:rPr>
        <w:rFonts w:hint="default"/>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5E4E1D76"/>
    <w:multiLevelType w:val="hybridMultilevel"/>
    <w:tmpl w:val="FCEC72D2"/>
    <w:lvl w:ilvl="0" w:tplc="97DC425A">
      <w:numFmt w:val="bullet"/>
      <w:lvlText w:val="-"/>
      <w:lvlJc w:val="left"/>
      <w:pPr>
        <w:ind w:left="720" w:hanging="360"/>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68A07F1D"/>
    <w:multiLevelType w:val="hybridMultilevel"/>
    <w:tmpl w:val="B4581FB6"/>
    <w:lvl w:ilvl="0" w:tplc="2DB4B20A">
      <w:numFmt w:val="bullet"/>
      <w:lvlText w:val="-"/>
      <w:lvlJc w:val="left"/>
      <w:pPr>
        <w:ind w:left="720" w:hanging="360"/>
      </w:pPr>
      <w:rPr>
        <w:rFonts w:ascii="Times New Roman" w:eastAsiaTheme="minorHAns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6C542431"/>
    <w:multiLevelType w:val="hybridMultilevel"/>
    <w:tmpl w:val="CF06942C"/>
    <w:lvl w:ilvl="0" w:tplc="04190019">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79E16C5B"/>
    <w:multiLevelType w:val="hybridMultilevel"/>
    <w:tmpl w:val="245AE0C2"/>
    <w:lvl w:ilvl="0" w:tplc="9072CE48">
      <w:start w:val="1"/>
      <w:numFmt w:val="decimal"/>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7CDC667E"/>
    <w:multiLevelType w:val="hybridMultilevel"/>
    <w:tmpl w:val="55D2DFAC"/>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7E3C15C3"/>
    <w:multiLevelType w:val="hybridMultilevel"/>
    <w:tmpl w:val="75E2E4DC"/>
    <w:lvl w:ilvl="0" w:tplc="5A0CD71C">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7EDD2A26"/>
    <w:multiLevelType w:val="hybridMultilevel"/>
    <w:tmpl w:val="5610FEB4"/>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4"/>
  </w:num>
  <w:num w:numId="2">
    <w:abstractNumId w:val="6"/>
  </w:num>
  <w:num w:numId="3">
    <w:abstractNumId w:val="13"/>
  </w:num>
  <w:num w:numId="4">
    <w:abstractNumId w:val="7"/>
  </w:num>
  <w:num w:numId="5">
    <w:abstractNumId w:val="9"/>
  </w:num>
  <w:num w:numId="6">
    <w:abstractNumId w:val="2"/>
  </w:num>
  <w:num w:numId="7">
    <w:abstractNumId w:val="8"/>
  </w:num>
  <w:num w:numId="8">
    <w:abstractNumId w:val="12"/>
  </w:num>
  <w:num w:numId="9">
    <w:abstractNumId w:val="3"/>
  </w:num>
  <w:num w:numId="10">
    <w:abstractNumId w:val="11"/>
  </w:num>
  <w:num w:numId="11">
    <w:abstractNumId w:val="10"/>
  </w:num>
  <w:num w:numId="12">
    <w:abstractNumId w:val="14"/>
  </w:num>
  <w:num w:numId="13">
    <w:abstractNumId w:val="1"/>
  </w:num>
  <w:num w:numId="14">
    <w:abstractNumId w:val="0"/>
  </w:num>
  <w:num w:numId="1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TQ0NjAGEZYGxoYmSjpKwanFxZn5eSAFxrUAhvQWriwAAAA="/>
  </w:docVars>
  <w:rsids>
    <w:rsidRoot w:val="00453D0D"/>
    <w:rsid w:val="000256B4"/>
    <w:rsid w:val="0003147B"/>
    <w:rsid w:val="00031FD2"/>
    <w:rsid w:val="0003554F"/>
    <w:rsid w:val="0005242E"/>
    <w:rsid w:val="00072DA8"/>
    <w:rsid w:val="000B0126"/>
    <w:rsid w:val="000E3B7B"/>
    <w:rsid w:val="001141CA"/>
    <w:rsid w:val="00130B7E"/>
    <w:rsid w:val="00163252"/>
    <w:rsid w:val="00164981"/>
    <w:rsid w:val="00187AE6"/>
    <w:rsid w:val="00193782"/>
    <w:rsid w:val="001B142E"/>
    <w:rsid w:val="001B6387"/>
    <w:rsid w:val="00207DCC"/>
    <w:rsid w:val="002263A1"/>
    <w:rsid w:val="00254061"/>
    <w:rsid w:val="00254B36"/>
    <w:rsid w:val="0025738B"/>
    <w:rsid w:val="00294957"/>
    <w:rsid w:val="0029555B"/>
    <w:rsid w:val="00296F54"/>
    <w:rsid w:val="002A1C4A"/>
    <w:rsid w:val="002C56B4"/>
    <w:rsid w:val="002F1ED8"/>
    <w:rsid w:val="002F5A8A"/>
    <w:rsid w:val="00323F9C"/>
    <w:rsid w:val="00324225"/>
    <w:rsid w:val="003415DB"/>
    <w:rsid w:val="0034246A"/>
    <w:rsid w:val="00361875"/>
    <w:rsid w:val="00376527"/>
    <w:rsid w:val="003D1CC0"/>
    <w:rsid w:val="003F740D"/>
    <w:rsid w:val="00402745"/>
    <w:rsid w:val="004043E7"/>
    <w:rsid w:val="00415A3A"/>
    <w:rsid w:val="00421F19"/>
    <w:rsid w:val="0042696D"/>
    <w:rsid w:val="00436E75"/>
    <w:rsid w:val="00453D0D"/>
    <w:rsid w:val="00481CD7"/>
    <w:rsid w:val="004C7B37"/>
    <w:rsid w:val="004E674E"/>
    <w:rsid w:val="004F5828"/>
    <w:rsid w:val="00546F64"/>
    <w:rsid w:val="005546BC"/>
    <w:rsid w:val="0059348B"/>
    <w:rsid w:val="005A3C3E"/>
    <w:rsid w:val="005C1A86"/>
    <w:rsid w:val="005E2BE5"/>
    <w:rsid w:val="005F007E"/>
    <w:rsid w:val="006041F0"/>
    <w:rsid w:val="006069EE"/>
    <w:rsid w:val="00606F90"/>
    <w:rsid w:val="0062111E"/>
    <w:rsid w:val="00624BE7"/>
    <w:rsid w:val="00625B96"/>
    <w:rsid w:val="00632130"/>
    <w:rsid w:val="00667873"/>
    <w:rsid w:val="00675232"/>
    <w:rsid w:val="00680DE1"/>
    <w:rsid w:val="00681E8A"/>
    <w:rsid w:val="00683265"/>
    <w:rsid w:val="006874A9"/>
    <w:rsid w:val="0069129B"/>
    <w:rsid w:val="00693BE3"/>
    <w:rsid w:val="007266FB"/>
    <w:rsid w:val="00733085"/>
    <w:rsid w:val="00742830"/>
    <w:rsid w:val="007453FD"/>
    <w:rsid w:val="007507CA"/>
    <w:rsid w:val="007530F5"/>
    <w:rsid w:val="00753EDA"/>
    <w:rsid w:val="00755AD7"/>
    <w:rsid w:val="00766D52"/>
    <w:rsid w:val="007705B9"/>
    <w:rsid w:val="007969A0"/>
    <w:rsid w:val="0080382F"/>
    <w:rsid w:val="00866B9F"/>
    <w:rsid w:val="00871515"/>
    <w:rsid w:val="00885191"/>
    <w:rsid w:val="008A2410"/>
    <w:rsid w:val="008D0992"/>
    <w:rsid w:val="009B037B"/>
    <w:rsid w:val="009B46F4"/>
    <w:rsid w:val="009B5A2C"/>
    <w:rsid w:val="009C2F13"/>
    <w:rsid w:val="00A06628"/>
    <w:rsid w:val="00A15561"/>
    <w:rsid w:val="00A94182"/>
    <w:rsid w:val="00AE20E3"/>
    <w:rsid w:val="00B043CA"/>
    <w:rsid w:val="00B42039"/>
    <w:rsid w:val="00B529C0"/>
    <w:rsid w:val="00B57871"/>
    <w:rsid w:val="00BB1FB4"/>
    <w:rsid w:val="00BB526F"/>
    <w:rsid w:val="00BC1F76"/>
    <w:rsid w:val="00BD766F"/>
    <w:rsid w:val="00BF61C7"/>
    <w:rsid w:val="00C0666C"/>
    <w:rsid w:val="00C15671"/>
    <w:rsid w:val="00C25A9C"/>
    <w:rsid w:val="00C413EE"/>
    <w:rsid w:val="00C46B5C"/>
    <w:rsid w:val="00C56C5E"/>
    <w:rsid w:val="00C92276"/>
    <w:rsid w:val="00CE6DAF"/>
    <w:rsid w:val="00D12BB0"/>
    <w:rsid w:val="00D33843"/>
    <w:rsid w:val="00D37DFC"/>
    <w:rsid w:val="00D54274"/>
    <w:rsid w:val="00D62B0B"/>
    <w:rsid w:val="00D90D1E"/>
    <w:rsid w:val="00D9329A"/>
    <w:rsid w:val="00DB1B01"/>
    <w:rsid w:val="00DB7BC5"/>
    <w:rsid w:val="00DF445D"/>
    <w:rsid w:val="00E3359B"/>
    <w:rsid w:val="00E47FD7"/>
    <w:rsid w:val="00E57AED"/>
    <w:rsid w:val="00E95964"/>
    <w:rsid w:val="00EC519E"/>
    <w:rsid w:val="00F0058C"/>
    <w:rsid w:val="00F4538B"/>
    <w:rsid w:val="00F476F9"/>
    <w:rsid w:val="00F50E17"/>
    <w:rsid w:val="00F6793B"/>
    <w:rsid w:val="00F71FDA"/>
    <w:rsid w:val="00FA2D55"/>
    <w:rsid w:val="00FB55EC"/>
    <w:rsid w:val="00FC6EA1"/>
    <w:rsid w:val="00FD046D"/>
    <w:rsid w:val="00FD644E"/>
    <w:rsid w:val="00FF19ED"/>
    <w:rsid w:val="00FF5DAB"/>
  </w:rsids>
  <m:mathPr>
    <m:mathFont m:val="Cambria Math"/>
    <m:brkBin m:val="before"/>
    <m:brkBinSub m:val="--"/>
    <m:smallFrac m:val="0"/>
    <m:dispDef/>
    <m:lMargin m:val="0"/>
    <m:rMargin m:val="0"/>
    <m:defJc m:val="centerGroup"/>
    <m:wrapIndent m:val="1440"/>
    <m:intLim m:val="subSup"/>
    <m:naryLim m:val="undOvr"/>
  </m:mathPr>
  <w:themeFontLang w:val="ru-RU"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67C0D6"/>
  <w15:chartTrackingRefBased/>
  <w15:docId w15:val="{A066F37D-976C-4C53-8C14-C645895889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254061"/>
    <w:pPr>
      <w:ind w:left="720"/>
      <w:contextualSpacing/>
    </w:pPr>
  </w:style>
  <w:style w:type="paragraph" w:styleId="a4">
    <w:name w:val="Balloon Text"/>
    <w:basedOn w:val="a"/>
    <w:link w:val="a5"/>
    <w:uiPriority w:val="99"/>
    <w:semiHidden/>
    <w:unhideWhenUsed/>
    <w:rsid w:val="001141CA"/>
    <w:pPr>
      <w:spacing w:after="0" w:line="240" w:lineRule="auto"/>
    </w:pPr>
    <w:rPr>
      <w:rFonts w:ascii="Segoe UI" w:hAnsi="Segoe UI" w:cs="Segoe UI"/>
      <w:sz w:val="18"/>
      <w:szCs w:val="18"/>
    </w:rPr>
  </w:style>
  <w:style w:type="character" w:customStyle="1" w:styleId="a5">
    <w:name w:val="Текст выноски Знак"/>
    <w:basedOn w:val="a0"/>
    <w:link w:val="a4"/>
    <w:uiPriority w:val="99"/>
    <w:semiHidden/>
    <w:rsid w:val="001141CA"/>
    <w:rPr>
      <w:rFonts w:ascii="Segoe UI" w:hAnsi="Segoe UI" w:cs="Segoe UI"/>
      <w:sz w:val="18"/>
      <w:szCs w:val="18"/>
    </w:rPr>
  </w:style>
  <w:style w:type="paragraph" w:styleId="a6">
    <w:name w:val="header"/>
    <w:basedOn w:val="a"/>
    <w:link w:val="a7"/>
    <w:uiPriority w:val="99"/>
    <w:unhideWhenUsed/>
    <w:rsid w:val="0059348B"/>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59348B"/>
  </w:style>
  <w:style w:type="paragraph" w:styleId="a8">
    <w:name w:val="footer"/>
    <w:basedOn w:val="a"/>
    <w:link w:val="a9"/>
    <w:uiPriority w:val="99"/>
    <w:unhideWhenUsed/>
    <w:rsid w:val="0059348B"/>
    <w:pPr>
      <w:tabs>
        <w:tab w:val="center" w:pos="4677"/>
        <w:tab w:val="right" w:pos="9355"/>
      </w:tabs>
      <w:spacing w:after="0" w:line="240" w:lineRule="auto"/>
    </w:pPr>
  </w:style>
  <w:style w:type="character" w:customStyle="1" w:styleId="a9">
    <w:name w:val="Нижний колонтитул Знак"/>
    <w:basedOn w:val="a0"/>
    <w:link w:val="a8"/>
    <w:uiPriority w:val="99"/>
    <w:rsid w:val="0059348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22180390">
      <w:bodyDiv w:val="1"/>
      <w:marLeft w:val="0"/>
      <w:marRight w:val="0"/>
      <w:marTop w:val="0"/>
      <w:marBottom w:val="0"/>
      <w:divBdr>
        <w:top w:val="none" w:sz="0" w:space="0" w:color="auto"/>
        <w:left w:val="none" w:sz="0" w:space="0" w:color="auto"/>
        <w:bottom w:val="none" w:sz="0" w:space="0" w:color="auto"/>
        <w:right w:val="none" w:sz="0" w:space="0" w:color="auto"/>
      </w:divBdr>
    </w:div>
    <w:div w:id="1614748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43</TotalTime>
  <Pages>3</Pages>
  <Words>970</Words>
  <Characters>5531</Characters>
  <Application>Microsoft Office Word</Application>
  <DocSecurity>0</DocSecurity>
  <Lines>46</Lines>
  <Paragraphs>12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6489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Khamit MR</dc:creator>
  <cp:keywords/>
  <dc:description/>
  <cp:lastModifiedBy>WW</cp:lastModifiedBy>
  <cp:revision>16</cp:revision>
  <dcterms:created xsi:type="dcterms:W3CDTF">2020-10-17T09:20:00Z</dcterms:created>
  <dcterms:modified xsi:type="dcterms:W3CDTF">2020-11-06T12:17:00Z</dcterms:modified>
</cp:coreProperties>
</file>